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FDA Pathway Document</w:t>
      </w:r>
    </w:p>
    <w:tbl>
      <w:tblPr>
        <w:tblStyle w:val="Table1"/>
        <w:tblW w:w="10395.0" w:type="dxa"/>
        <w:jc w:val="left"/>
        <w:tblInd w:w="-6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70"/>
        <w:gridCol w:w="8925"/>
        <w:tblGridChange w:id="0">
          <w:tblGrid>
            <w:gridCol w:w="1470"/>
            <w:gridCol w:w="8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widowControl w:val="0"/>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Device Classification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Class I Medical Device (pursuant to Section 201(h)(1)(B) (B))</w:t>
            </w:r>
          </w:p>
          <w:p w:rsidR="00000000" w:rsidDel="00000000" w:rsidP="00000000" w:rsidRDefault="00000000" w:rsidRPr="00000000" w14:paraId="00000004">
            <w:pPr>
              <w:widowControl w:val="0"/>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widowControl w:val="0"/>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Rationale: </w:t>
            </w:r>
          </w:p>
          <w:p w:rsidR="00000000" w:rsidDel="00000000" w:rsidP="00000000" w:rsidRDefault="00000000" w:rsidRPr="00000000" w14:paraId="0000000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Our device is a medical device because it meets the FDA definition of a medical device. Our device is an accessory which is intended for the mitigation of disease in the human body.</w:t>
            </w:r>
          </w:p>
          <w:p w:rsidR="00000000" w:rsidDel="00000000" w:rsidP="00000000" w:rsidRDefault="00000000" w:rsidRPr="00000000" w14:paraId="0000000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Identification. An introduction/drainage catheter is a device that is a flexible single or multi lumen tube intended to be used to introduce non drug fluids into body cavities other than blood vessels, drain fluids from body cavities, or evaluate certain physiologic conditions. Examples include irrigation and drainage catheters, pediatric catheters, peritoneal catheters (including dialysis), and other general surgical catheters. An introduction/drainage catheter accessory (like our device) is intended to aid in the manipulation of or insertion of the device into the body. Examples of accessories include adaptors, connectors, and catheter needles.</w:t>
            </w:r>
          </w:p>
          <w:p w:rsidR="00000000" w:rsidDel="00000000" w:rsidP="00000000" w:rsidRDefault="00000000" w:rsidRPr="00000000" w14:paraId="00000009">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widowControl w:val="0"/>
              <w:spacing w:line="240"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 (c) Classification. Our device is </w:t>
            </w:r>
            <w:r w:rsidDel="00000000" w:rsidR="00000000" w:rsidRPr="00000000">
              <w:rPr>
                <w:rFonts w:ascii="Times New Roman" w:cs="Times New Roman" w:eastAsia="Times New Roman" w:hAnsi="Times New Roman"/>
                <w:highlight w:val="yellow"/>
                <w:rtl w:val="0"/>
              </w:rPr>
              <w:t xml:space="preserve">Class II under Sec. 878.4200: Introduction/drainage catheter and accessories. </w:t>
            </w:r>
            <w:r w:rsidDel="00000000" w:rsidR="00000000" w:rsidRPr="00000000">
              <w:rPr>
                <w:rFonts w:ascii="Times New Roman" w:cs="Times New Roman" w:eastAsia="Times New Roman" w:hAnsi="Times New Roman"/>
                <w:rtl w:val="0"/>
              </w:rPr>
              <w:t xml:space="preserve">A similar device to ours under this classification is the standard </w:t>
            </w:r>
            <w:hyperlink r:id="rId6">
              <w:r w:rsidDel="00000000" w:rsidR="00000000" w:rsidRPr="00000000">
                <w:rPr>
                  <w:rFonts w:ascii="Times New Roman" w:cs="Times New Roman" w:eastAsia="Times New Roman" w:hAnsi="Times New Roman"/>
                  <w:color w:val="1155cc"/>
                  <w:u w:val="single"/>
                  <w:rtl w:val="0"/>
                </w:rPr>
                <w:t xml:space="preserve">pigtail catheter</w:t>
              </w:r>
            </w:hyperlink>
            <w:r w:rsidDel="00000000" w:rsidR="00000000" w:rsidRPr="00000000">
              <w:rPr>
                <w:rFonts w:ascii="Times New Roman" w:cs="Times New Roman" w:eastAsia="Times New Roman" w:hAnsi="Times New Roman"/>
                <w:rtl w:val="0"/>
              </w:rPr>
              <w:t xml:space="preserve"> from BlueNeem which is Class I exempt from the premarket notification procedures in subpart E of part 807 of this chapter subject to § 878.9. [53 FR 23872, June 24, 1988, as amended at 65 FR 2318, Jan. 14, 2000].</w:t>
            </w:r>
            <w:r w:rsidDel="00000000" w:rsidR="00000000" w:rsidRPr="00000000">
              <w:rPr>
                <w:rFonts w:ascii="Times New Roman" w:cs="Times New Roman" w:eastAsia="Times New Roman" w:hAnsi="Times New Roman"/>
                <w:highlight w:val="yellow"/>
                <w:rtl w:val="0"/>
              </w:rPr>
              <w:t xml:space="preserve"> Because of this our new device would be Class II.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Nexts Steps in Regulatory Pathway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Testing</w:t>
            </w:r>
          </w:p>
          <w:p w:rsidR="00000000" w:rsidDel="00000000" w:rsidP="00000000" w:rsidRDefault="00000000" w:rsidRPr="00000000" w14:paraId="0000000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the claim of an improved flushing process: We will conduct a test in which clogs are induced in different sizes of catheters and then the two methods, manual flushing and our design, are used to clear the clog. Afterwards, the amount of matter removed from the clog and speed of clog removal can be measured in the tests so we may reasonably affirm that our flushing process improves those currently on the market.</w:t>
            </w:r>
          </w:p>
        </w:tc>
      </w:tr>
      <w:tr>
        <w:trPr>
          <w:cantSplit w:val="0"/>
          <w:trHeight w:val="152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Questions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numPr>
                <w:ilvl w:val="0"/>
                <w:numId w:val="1"/>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Our device is a catheter inside of another catheter. Should it be classified as a drainage catheter under Sec. 878.4200: Introduction/drainage catheter and accessories?</w:t>
            </w:r>
          </w:p>
          <w:p w:rsidR="00000000" w:rsidDel="00000000" w:rsidP="00000000" w:rsidRDefault="00000000" w:rsidRPr="00000000" w14:paraId="00000010">
            <w:pPr>
              <w:widowControl w:val="0"/>
              <w:numPr>
                <w:ilvl w:val="0"/>
                <w:numId w:val="1"/>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 there any existing standards or regulations that govern devices involving the permanent insertion of a catheter into another catheter, and how can we ensure compliance with these standards?</w:t>
            </w:r>
          </w:p>
          <w:p w:rsidR="00000000" w:rsidDel="00000000" w:rsidP="00000000" w:rsidRDefault="00000000" w:rsidRPr="00000000" w14:paraId="00000011">
            <w:pPr>
              <w:widowControl w:val="0"/>
              <w:numPr>
                <w:ilvl w:val="0"/>
                <w:numId w:val="1"/>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 there specific considerations or regulations related to combination products that we should be aware of during the regulatory process.</w:t>
            </w:r>
          </w:p>
          <w:p w:rsidR="00000000" w:rsidDel="00000000" w:rsidP="00000000" w:rsidRDefault="00000000" w:rsidRPr="00000000" w14:paraId="00000012">
            <w:pPr>
              <w:widowControl w:val="0"/>
              <w:numPr>
                <w:ilvl w:val="0"/>
                <w:numId w:val="1"/>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factors/characteristics should we consider when looking for predicate devices?</w:t>
            </w:r>
          </w:p>
          <w:p w:rsidR="00000000" w:rsidDel="00000000" w:rsidP="00000000" w:rsidRDefault="00000000" w:rsidRPr="00000000" w14:paraId="00000013">
            <w:pPr>
              <w:widowControl w:val="0"/>
              <w:numPr>
                <w:ilvl w:val="0"/>
                <w:numId w:val="1"/>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Would a multi-lumen catheter device serve as a predicate device for our solution?</w:t>
            </w:r>
          </w:p>
          <w:p w:rsidR="00000000" w:rsidDel="00000000" w:rsidP="00000000" w:rsidRDefault="00000000" w:rsidRPr="00000000" w14:paraId="00000014">
            <w:pPr>
              <w:widowControl w:val="0"/>
              <w:numPr>
                <w:ilvl w:val="0"/>
                <w:numId w:val="1"/>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face of multiple possible predicates, which do we choose?</w:t>
            </w:r>
          </w:p>
          <w:p w:rsidR="00000000" w:rsidDel="00000000" w:rsidP="00000000" w:rsidRDefault="00000000" w:rsidRPr="00000000" w14:paraId="00000015">
            <w:pPr>
              <w:widowControl w:val="0"/>
              <w:numPr>
                <w:ilvl w:val="0"/>
                <w:numId w:val="1"/>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 there any specific requirements or testing protocols regarding material compatibility, considering that our device involves multiple catheters and materials?</w:t>
            </w:r>
          </w:p>
          <w:p w:rsidR="00000000" w:rsidDel="00000000" w:rsidP="00000000" w:rsidRDefault="00000000" w:rsidRPr="00000000" w14:paraId="00000016">
            <w:pPr>
              <w:widowControl w:val="0"/>
              <w:numPr>
                <w:ilvl w:val="0"/>
                <w:numId w:val="1"/>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preparing for FDA submission of a</w:t>
            </w:r>
            <w:r w:rsidDel="00000000" w:rsidR="00000000" w:rsidRPr="00000000">
              <w:rPr>
                <w:rFonts w:ascii="Times New Roman" w:cs="Times New Roman" w:eastAsia="Times New Roman" w:hAnsi="Times New Roman"/>
                <w:highlight w:val="yellow"/>
                <w:rtl w:val="0"/>
              </w:rPr>
              <w:t xml:space="preserve"> Class II device</w:t>
            </w:r>
            <w:r w:rsidDel="00000000" w:rsidR="00000000" w:rsidRPr="00000000">
              <w:rPr>
                <w:rFonts w:ascii="Times New Roman" w:cs="Times New Roman" w:eastAsia="Times New Roman" w:hAnsi="Times New Roman"/>
                <w:rtl w:val="0"/>
              </w:rPr>
              <w:t xml:space="preserve">, what is the extent of testing that needs to be completed, and how do we distinguish between tests covered by our predicate, and tests that aren’t? </w:t>
            </w:r>
          </w:p>
          <w:p w:rsidR="00000000" w:rsidDel="00000000" w:rsidP="00000000" w:rsidRDefault="00000000" w:rsidRPr="00000000" w14:paraId="00000017">
            <w:pPr>
              <w:widowControl w:val="0"/>
              <w:numPr>
                <w:ilvl w:val="0"/>
                <w:numId w:val="1"/>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we conduct biomaterials testing if our device is made from materials used in other medical devices that are put inside the body, beyond drains?</w:t>
            </w:r>
          </w:p>
        </w:tc>
      </w:tr>
    </w:tbl>
    <w:p w:rsidR="00000000" w:rsidDel="00000000" w:rsidP="00000000" w:rsidRDefault="00000000" w:rsidRPr="00000000" w14:paraId="0000001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blueneem.com/products-list/denssicath-multi-purpose-drainage-catheter-pigt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